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11FDE"/>
    <w:p w14:paraId="6CAFFBA4"/>
    <w:p w14:paraId="5E682AF6"/>
    <w:p w14:paraId="513BC92E"/>
    <w:p w14:paraId="3537D0C7"/>
    <w:p w14:paraId="0BA30DF2"/>
    <w:p w14:paraId="5455CF1C">
      <w:pPr>
        <w:spacing w:line="348" w:lineRule="auto"/>
        <w:jc w:val="center"/>
        <w:rPr>
          <w:rFonts w:eastAsia="方正小标宋简体"/>
          <w:bCs/>
          <w:sz w:val="42"/>
          <w:szCs w:val="42"/>
        </w:rPr>
      </w:pPr>
    </w:p>
    <w:p w14:paraId="4CE7DD3A">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2023年度岳阳市统计局整体支出</w:t>
      </w:r>
    </w:p>
    <w:p w14:paraId="58117929">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14:paraId="23B9D2EB">
      <w:pPr>
        <w:spacing w:line="800" w:lineRule="exact"/>
        <w:jc w:val="center"/>
        <w:rPr>
          <w:rFonts w:eastAsia="方正小标宋简体"/>
          <w:bCs/>
          <w:sz w:val="46"/>
          <w:szCs w:val="46"/>
        </w:rPr>
      </w:pPr>
    </w:p>
    <w:p w14:paraId="36771F57">
      <w:pPr>
        <w:rPr>
          <w:rFonts w:eastAsia="仿宋_GB2312"/>
          <w:b/>
          <w:sz w:val="32"/>
        </w:rPr>
      </w:pPr>
    </w:p>
    <w:p w14:paraId="4C17FCE4">
      <w:pPr>
        <w:rPr>
          <w:rFonts w:eastAsia="仿宋_GB2312"/>
          <w:b/>
          <w:sz w:val="32"/>
        </w:rPr>
      </w:pPr>
    </w:p>
    <w:p w14:paraId="4FE1DD29">
      <w:pPr>
        <w:rPr>
          <w:rFonts w:eastAsia="仿宋_GB2312"/>
          <w:b/>
          <w:sz w:val="32"/>
        </w:rPr>
      </w:pPr>
    </w:p>
    <w:p w14:paraId="6D8C2192">
      <w:pPr>
        <w:spacing w:beforeLines="50" w:line="348" w:lineRule="auto"/>
        <w:ind w:firstLine="480" w:firstLineChars="150"/>
        <w:rPr>
          <w:rFonts w:eastAsia="仿宋_GB2312"/>
          <w:sz w:val="32"/>
          <w:szCs w:val="32"/>
        </w:rPr>
      </w:pPr>
    </w:p>
    <w:p w14:paraId="72D16FE3">
      <w:pPr>
        <w:spacing w:beforeLines="50" w:line="348" w:lineRule="auto"/>
        <w:ind w:firstLine="480" w:firstLineChars="150"/>
        <w:rPr>
          <w:rFonts w:eastAsia="仿宋_GB2312"/>
          <w:sz w:val="32"/>
          <w:szCs w:val="32"/>
        </w:rPr>
      </w:pPr>
    </w:p>
    <w:p w14:paraId="13CDCBC0">
      <w:pPr>
        <w:spacing w:beforeLines="50" w:line="348" w:lineRule="auto"/>
        <w:ind w:firstLine="480" w:firstLineChars="150"/>
        <w:rPr>
          <w:rFonts w:eastAsia="仿宋_GB2312"/>
          <w:sz w:val="32"/>
          <w:szCs w:val="32"/>
        </w:rPr>
      </w:pPr>
    </w:p>
    <w:p w14:paraId="72439E95">
      <w:pPr>
        <w:spacing w:beforeLines="50" w:line="348" w:lineRule="auto"/>
        <w:ind w:firstLine="480" w:firstLineChars="150"/>
        <w:rPr>
          <w:rFonts w:eastAsia="仿宋_GB2312"/>
          <w:sz w:val="32"/>
          <w:szCs w:val="32"/>
        </w:rPr>
      </w:pPr>
    </w:p>
    <w:p w14:paraId="280DCD7A">
      <w:pPr>
        <w:spacing w:beforeLines="50" w:line="348" w:lineRule="auto"/>
        <w:ind w:firstLine="480" w:firstLineChars="150"/>
        <w:rPr>
          <w:rFonts w:eastAsia="仿宋_GB2312"/>
          <w:sz w:val="32"/>
          <w:szCs w:val="32"/>
        </w:rPr>
      </w:pPr>
    </w:p>
    <w:p w14:paraId="66F3D9E5">
      <w:pPr>
        <w:spacing w:line="600" w:lineRule="exact"/>
        <w:jc w:val="center"/>
        <w:rPr>
          <w:rFonts w:eastAsia="仿宋_GB2312"/>
          <w:sz w:val="32"/>
          <w:szCs w:val="32"/>
          <w:u w:val="single"/>
        </w:rPr>
      </w:pPr>
      <w:r>
        <w:rPr>
          <w:rFonts w:eastAsia="仿宋_GB2312"/>
          <w:sz w:val="32"/>
          <w:szCs w:val="32"/>
        </w:rPr>
        <w:t>部门（单位）名称：</w:t>
      </w:r>
      <w:r>
        <w:rPr>
          <w:rFonts w:hint="eastAsia" w:eastAsia="仿宋_GB2312"/>
          <w:sz w:val="32"/>
          <w:szCs w:val="32"/>
        </w:rPr>
        <w:t>岳阳市统计局</w:t>
      </w:r>
    </w:p>
    <w:p w14:paraId="5882FE34">
      <w:pPr>
        <w:spacing w:line="600" w:lineRule="exact"/>
        <w:jc w:val="center"/>
        <w:rPr>
          <w:rFonts w:eastAsia="楷体_GB2312"/>
          <w:sz w:val="32"/>
          <w:szCs w:val="32"/>
        </w:rPr>
      </w:pPr>
      <w:r>
        <w:rPr>
          <w:rFonts w:hint="eastAsia" w:eastAsia="楷体_GB2312"/>
          <w:sz w:val="32"/>
          <w:szCs w:val="32"/>
        </w:rPr>
        <w:t>2024</w:t>
      </w:r>
      <w:r>
        <w:rPr>
          <w:rFonts w:eastAsia="楷体_GB2312"/>
          <w:sz w:val="32"/>
          <w:szCs w:val="32"/>
        </w:rPr>
        <w:t>年</w:t>
      </w:r>
      <w:r>
        <w:rPr>
          <w:rFonts w:hint="eastAsia" w:eastAsia="楷体_GB2312"/>
          <w:sz w:val="32"/>
          <w:szCs w:val="32"/>
        </w:rPr>
        <w:t>6</w:t>
      </w:r>
      <w:r>
        <w:rPr>
          <w:rFonts w:eastAsia="楷体_GB2312"/>
          <w:sz w:val="32"/>
          <w:szCs w:val="32"/>
        </w:rPr>
        <w:t>月</w:t>
      </w:r>
      <w:r>
        <w:rPr>
          <w:rFonts w:hint="eastAsia" w:eastAsia="楷体_GB2312"/>
          <w:sz w:val="32"/>
          <w:szCs w:val="32"/>
        </w:rPr>
        <w:t>28</w:t>
      </w:r>
      <w:r>
        <w:rPr>
          <w:rFonts w:eastAsia="楷体_GB2312"/>
          <w:sz w:val="32"/>
          <w:szCs w:val="32"/>
        </w:rPr>
        <w:t>日</w:t>
      </w:r>
    </w:p>
    <w:p w14:paraId="5807C25E">
      <w:pPr>
        <w:spacing w:beforeLines="50" w:line="348" w:lineRule="auto"/>
        <w:ind w:firstLine="480" w:firstLineChars="150"/>
        <w:rPr>
          <w:rFonts w:eastAsia="仿宋_GB2312"/>
          <w:sz w:val="32"/>
          <w:szCs w:val="32"/>
          <w:u w:val="single"/>
        </w:rPr>
      </w:pPr>
    </w:p>
    <w:p w14:paraId="500E134B">
      <w:pPr>
        <w:rPr>
          <w:rFonts w:ascii="黑体" w:hAnsi="黑体" w:eastAsia="黑体" w:cs="黑体"/>
          <w:bCs/>
          <w:sz w:val="28"/>
          <w:szCs w:val="28"/>
        </w:rPr>
      </w:pPr>
    </w:p>
    <w:p w14:paraId="4C6851CB">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根据《岳阳市财政局关于开展2023年度市级预算绩效支出绩效自评工作的通知》（岳财函〔2024〕35号）的要求，现对岳阳市统计局2023年度的部门整体支出开展绩效自评，现将情况汇报如下：</w:t>
      </w:r>
    </w:p>
    <w:p w14:paraId="01253887">
      <w:pPr>
        <w:spacing w:line="500" w:lineRule="exact"/>
        <w:ind w:firstLine="600" w:firstLineChars="200"/>
        <w:rPr>
          <w:rFonts w:ascii="黑体" w:hAnsi="黑体" w:eastAsia="黑体" w:cs="黑体"/>
          <w:bCs/>
          <w:sz w:val="30"/>
          <w:szCs w:val="30"/>
        </w:rPr>
      </w:pPr>
      <w:r>
        <w:rPr>
          <w:rFonts w:hint="eastAsia" w:ascii="黑体" w:hAnsi="黑体" w:eastAsia="黑体" w:cs="黑体"/>
          <w:bCs/>
          <w:sz w:val="30"/>
          <w:szCs w:val="30"/>
        </w:rPr>
        <w:t>一、部门（单位）概况</w:t>
      </w:r>
    </w:p>
    <w:p w14:paraId="58EB3ED1">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（一）单位基本情况</w:t>
      </w:r>
    </w:p>
    <w:p w14:paraId="69F54A2E">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岳阳市统计局系财政全额预算拨款单位。</w:t>
      </w:r>
      <w:bookmarkStart w:id="0" w:name="_Hlk105348697"/>
      <w:r>
        <w:rPr>
          <w:rFonts w:hint="eastAsia" w:ascii="仿宋_GB2312" w:hAnsi="仿宋_GB2312" w:eastAsia="仿宋_GB2312" w:cs="仿宋_GB2312"/>
          <w:bCs/>
          <w:sz w:val="30"/>
          <w:szCs w:val="30"/>
        </w:rPr>
        <w:t>2023年末编制人数53人，其中：行政编制29人，事业编制24人。在职实有人数50人，其中：行政人员28人，参公事业人员6人，非参公事业人员16人。退休人员3</w:t>
      </w:r>
      <w:r>
        <w:rPr>
          <w:rFonts w:hint="eastAsia" w:ascii="仿宋_GB2312" w:hAnsi="仿宋_GB2312" w:eastAsia="仿宋_GB2312" w:cs="仿宋_GB2312"/>
          <w:bCs/>
          <w:sz w:val="30"/>
          <w:szCs w:val="30"/>
          <w:lang w:val="en-US" w:eastAsia="zh-CN"/>
        </w:rPr>
        <w:t>6</w:t>
      </w:r>
      <w:r>
        <w:rPr>
          <w:rFonts w:hint="eastAsia" w:ascii="仿宋_GB2312" w:hAnsi="仿宋_GB2312" w:eastAsia="仿宋_GB2312" w:cs="仿宋_GB2312"/>
          <w:bCs/>
          <w:sz w:val="30"/>
          <w:szCs w:val="30"/>
        </w:rPr>
        <w:t>人。</w:t>
      </w:r>
    </w:p>
    <w:bookmarkEnd w:id="0"/>
    <w:p w14:paraId="4066D490">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局机关本级内设机构有11个：办公室、统计执法监督科（岳阳市统计执法监督局）、综合统计与经济研究室、国民经济核算与农村社会经济调查科、工业统计科、能源统计科、投资贸易外经统计科、人口和就业统计科（社会和科技统计科）、服务业统计调查科、普查科、人事科（离退休人员管理服务科）；下设二级机构3个：市统计信息处理中心、市农村抽样调查队、市统计局民意调查中心。</w:t>
      </w:r>
    </w:p>
    <w:p w14:paraId="48532131">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市统计信息处理中心、市农村抽样调查队、市统计局民意调查中心的人员经费与办公经费一并列入局机关预算。</w:t>
      </w:r>
    </w:p>
    <w:p w14:paraId="1293DB21">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（二）2023年度绩效目标情况</w:t>
      </w:r>
    </w:p>
    <w:p w14:paraId="027E2A2B">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1.整体支出绩效目标：</w:t>
      </w:r>
    </w:p>
    <w:p w14:paraId="6A3A7EFA">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（1）开展常规统计工作，及时分析经济运行情况，撰写统计分析，编印统计产品。</w:t>
      </w:r>
    </w:p>
    <w:p w14:paraId="3B1C3BAB">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（2）抓好高质量发展、民生实事、新型工业化、统计监测与评估工作。</w:t>
      </w:r>
    </w:p>
    <w:p w14:paraId="6E42CFE9">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（3）开展全国第五次经济普查启动工作。</w:t>
      </w:r>
    </w:p>
    <w:p w14:paraId="78151B77">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（4）开展各项民意调查工作。</w:t>
      </w:r>
    </w:p>
    <w:p w14:paraId="205C2BAD">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（5）抓好统计信息化建设，确保各项经济社会发展。数据安全，联网直报顺畅、准确安全。</w:t>
      </w:r>
    </w:p>
    <w:p w14:paraId="554272B9">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2.项目支出绩效目标：</w:t>
      </w:r>
    </w:p>
    <w:p w14:paraId="2C21E554">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常规调查与培训的绩效目标：一是完成本年各专业统计报表任务，汇总、整理和提供有关市情市力方面的统计数据（各行业），汇集整理对外提供全市基本统计数据。二是根据生产的统计数据形成政策咨询建议，为市委市政府决策提供统计依据，为党政机关提供参考依据；提供优质的统计服务。三是保障数据联网直报工作正常开展。</w:t>
      </w:r>
    </w:p>
    <w:p w14:paraId="5931C6E1">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第五次全国经济普查的绩效目标：一是完成经济普查方案的设计。二是组织好经济普查的综合试点及专项试点。三是做好经济普查宣传工作。四是做好“两员”选调培训工作。五是做好摸底清查数据采集汇总工作。六是经济普查各类业务培训。七是部门数据收集整理工作。</w:t>
      </w:r>
    </w:p>
    <w:p w14:paraId="25A4858A">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（3）民意调查与考核的绩效目标：一是保障民调中心事业运行。二是完成市委市政府交办的民调项目。三是提高统计调查能力，扩大民意调查影响力；进行数据分析研究。</w:t>
      </w:r>
    </w:p>
    <w:p w14:paraId="2E953EF6">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统计工作经费的绩效目标：一是对劳动工资、服务业数据统计上报。二是推进统计督察工作；完成统计执法案件；做好统计执法宣传。三是对生态环境满意度、基本公共服务满意度进行民意测评工作，为综合绩效考评工作提供参考依据。</w:t>
      </w:r>
    </w:p>
    <w:p w14:paraId="4C14432A">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（5）统计培训与资料印刷的绩效目标：一是分专业开展对统计人员的业务培训，提高其业务知识水平和专业能力。二是印刷包括《岳阳统计年鉴》、经济动态在内的各类统计产品及宣传资料。</w:t>
      </w:r>
    </w:p>
    <w:p w14:paraId="305DA0CE">
      <w:pPr>
        <w:spacing w:line="500" w:lineRule="exact"/>
        <w:ind w:firstLine="600" w:firstLineChars="200"/>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rPr>
        <w:t>（6）2022年单位指标结余结转的绩效目标：</w:t>
      </w:r>
      <w:r>
        <w:rPr>
          <w:rFonts w:hint="eastAsia" w:ascii="仿宋_GB2312" w:hAnsi="仿宋_GB2312" w:eastAsia="仿宋_GB2312" w:cs="仿宋_GB2312"/>
          <w:bCs/>
          <w:sz w:val="30"/>
          <w:szCs w:val="30"/>
          <w:lang w:eastAsia="zh-CN"/>
        </w:rPr>
        <w:t>开展统计业务工作。</w:t>
      </w:r>
    </w:p>
    <w:p w14:paraId="7D02D007">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（7）市殡仪馆服务满意度调查的绩效目标：对市殡仪馆服务开展满意度调查。</w:t>
      </w:r>
    </w:p>
    <w:p w14:paraId="23EF7D7D">
      <w:pPr>
        <w:spacing w:line="5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（8）专项调查与考核的绩效目标：对市禁毒工作开展满意度调查。</w:t>
      </w:r>
    </w:p>
    <w:p w14:paraId="60DC3F2D">
      <w:pPr>
        <w:spacing w:line="5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（9）基层统计调查补助经费的绩效目标：开展统计基层基础工作。</w:t>
      </w:r>
    </w:p>
    <w:p w14:paraId="752C869C">
      <w:pPr>
        <w:spacing w:line="500" w:lineRule="exact"/>
        <w:ind w:firstLine="600" w:firstLineChars="200"/>
        <w:rPr>
          <w:rFonts w:ascii="黑体" w:hAnsi="黑体" w:eastAsia="黑体" w:cs="黑体"/>
          <w:bCs/>
          <w:sz w:val="30"/>
          <w:szCs w:val="30"/>
        </w:rPr>
      </w:pPr>
      <w:r>
        <w:rPr>
          <w:rFonts w:hint="eastAsia" w:ascii="黑体" w:hAnsi="黑体" w:eastAsia="黑体" w:cs="黑体"/>
          <w:bCs/>
          <w:sz w:val="30"/>
          <w:szCs w:val="30"/>
        </w:rPr>
        <w:t>二、一般公共预算支出情况</w:t>
      </w:r>
    </w:p>
    <w:p w14:paraId="2AA3D826">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2023年</w:t>
      </w:r>
      <w:r>
        <w:rPr>
          <w:rFonts w:ascii="仿宋_GB2312" w:hAnsi="仿宋_GB2312" w:eastAsia="仿宋_GB2312" w:cs="仿宋_GB2312"/>
          <w:bCs/>
          <w:sz w:val="30"/>
          <w:szCs w:val="30"/>
        </w:rPr>
        <w:t>统计局部门</w:t>
      </w:r>
      <w:r>
        <w:rPr>
          <w:rFonts w:hint="eastAsia" w:ascii="仿宋_GB2312" w:hAnsi="仿宋_GB2312" w:eastAsia="仿宋_GB2312" w:cs="仿宋_GB2312"/>
          <w:bCs/>
          <w:sz w:val="30"/>
          <w:szCs w:val="30"/>
        </w:rPr>
        <w:t>决算</w:t>
      </w:r>
      <w:r>
        <w:rPr>
          <w:rFonts w:ascii="仿宋_GB2312" w:hAnsi="仿宋_GB2312" w:eastAsia="仿宋_GB2312" w:cs="仿宋_GB2312"/>
          <w:bCs/>
          <w:sz w:val="30"/>
          <w:szCs w:val="30"/>
        </w:rPr>
        <w:t>整体支出</w:t>
      </w:r>
      <w:r>
        <w:rPr>
          <w:rFonts w:hint="eastAsia" w:ascii="仿宋_GB2312" w:hAnsi="仿宋_GB2312" w:eastAsia="仿宋_GB2312" w:cs="仿宋_GB2312"/>
          <w:bCs/>
          <w:sz w:val="30"/>
          <w:szCs w:val="30"/>
        </w:rPr>
        <w:t>1278.08万元</w:t>
      </w:r>
      <w:r>
        <w:rPr>
          <w:rFonts w:ascii="仿宋_GB2312" w:hAnsi="仿宋_GB2312" w:eastAsia="仿宋_GB2312" w:cs="仿宋_GB2312"/>
          <w:bCs/>
          <w:sz w:val="30"/>
          <w:szCs w:val="30"/>
        </w:rPr>
        <w:t>，其中基本支出</w:t>
      </w:r>
      <w:r>
        <w:rPr>
          <w:rFonts w:hint="eastAsia" w:ascii="仿宋_GB2312" w:hAnsi="仿宋_GB2312" w:eastAsia="仿宋_GB2312" w:cs="仿宋_GB2312"/>
          <w:bCs/>
          <w:sz w:val="30"/>
          <w:szCs w:val="30"/>
        </w:rPr>
        <w:t>961.41万元，</w:t>
      </w:r>
      <w:r>
        <w:rPr>
          <w:rFonts w:ascii="仿宋_GB2312" w:hAnsi="仿宋_GB2312" w:eastAsia="仿宋_GB2312" w:cs="仿宋_GB2312"/>
          <w:bCs/>
          <w:sz w:val="30"/>
          <w:szCs w:val="30"/>
        </w:rPr>
        <w:t>占总支出</w:t>
      </w:r>
      <w:r>
        <w:rPr>
          <w:rFonts w:hint="eastAsia" w:ascii="仿宋_GB2312" w:hAnsi="仿宋_GB2312" w:eastAsia="仿宋_GB2312" w:cs="仿宋_GB2312"/>
          <w:bCs/>
          <w:sz w:val="30"/>
          <w:szCs w:val="30"/>
        </w:rPr>
        <w:t>75.22</w:t>
      </w:r>
      <w:r>
        <w:rPr>
          <w:rFonts w:ascii="仿宋_GB2312" w:hAnsi="仿宋_GB2312" w:eastAsia="仿宋_GB2312" w:cs="仿宋_GB2312"/>
          <w:bCs/>
          <w:sz w:val="30"/>
          <w:szCs w:val="30"/>
        </w:rPr>
        <w:t>%，人员支出</w:t>
      </w:r>
      <w:r>
        <w:rPr>
          <w:rFonts w:hint="eastAsia" w:ascii="仿宋_GB2312" w:hAnsi="仿宋_GB2312" w:eastAsia="仿宋_GB2312" w:cs="仿宋_GB2312"/>
          <w:bCs/>
          <w:sz w:val="30"/>
          <w:szCs w:val="30"/>
        </w:rPr>
        <w:t>863.18万元</w:t>
      </w:r>
      <w:r>
        <w:rPr>
          <w:rFonts w:ascii="仿宋_GB2312" w:hAnsi="仿宋_GB2312" w:eastAsia="仿宋_GB2312" w:cs="仿宋_GB2312"/>
          <w:bCs/>
          <w:sz w:val="30"/>
          <w:szCs w:val="30"/>
        </w:rPr>
        <w:t>，占基本支出</w:t>
      </w:r>
      <w:r>
        <w:rPr>
          <w:rFonts w:hint="eastAsia" w:ascii="仿宋_GB2312" w:hAnsi="仿宋_GB2312" w:eastAsia="仿宋_GB2312" w:cs="仿宋_GB2312"/>
          <w:bCs/>
          <w:sz w:val="30"/>
          <w:szCs w:val="30"/>
        </w:rPr>
        <w:t>89.78</w:t>
      </w:r>
      <w:r>
        <w:rPr>
          <w:rFonts w:ascii="仿宋_GB2312" w:hAnsi="仿宋_GB2312" w:eastAsia="仿宋_GB2312" w:cs="仿宋_GB2312"/>
          <w:bCs/>
          <w:sz w:val="30"/>
          <w:szCs w:val="30"/>
        </w:rPr>
        <w:t>%，公用支出</w:t>
      </w:r>
      <w:r>
        <w:rPr>
          <w:rFonts w:hint="eastAsia" w:ascii="仿宋_GB2312" w:hAnsi="仿宋_GB2312" w:eastAsia="仿宋_GB2312" w:cs="仿宋_GB2312"/>
          <w:bCs/>
          <w:sz w:val="30"/>
          <w:szCs w:val="30"/>
        </w:rPr>
        <w:t>98.23万元</w:t>
      </w:r>
      <w:r>
        <w:rPr>
          <w:rFonts w:ascii="仿宋_GB2312" w:hAnsi="仿宋_GB2312" w:eastAsia="仿宋_GB2312" w:cs="仿宋_GB2312"/>
          <w:bCs/>
          <w:sz w:val="30"/>
          <w:szCs w:val="30"/>
        </w:rPr>
        <w:t>，占基本支出10.</w:t>
      </w:r>
      <w:r>
        <w:rPr>
          <w:rFonts w:hint="eastAsia" w:ascii="仿宋_GB2312" w:hAnsi="仿宋_GB2312" w:eastAsia="仿宋_GB2312" w:cs="仿宋_GB2312"/>
          <w:bCs/>
          <w:sz w:val="30"/>
          <w:szCs w:val="30"/>
        </w:rPr>
        <w:t>22</w:t>
      </w:r>
      <w:r>
        <w:rPr>
          <w:rFonts w:ascii="仿宋_GB2312" w:hAnsi="仿宋_GB2312" w:eastAsia="仿宋_GB2312" w:cs="仿宋_GB2312"/>
          <w:bCs/>
          <w:sz w:val="30"/>
          <w:szCs w:val="30"/>
        </w:rPr>
        <w:t>%，项目支出</w:t>
      </w:r>
      <w:r>
        <w:rPr>
          <w:rFonts w:hint="eastAsia" w:ascii="仿宋_GB2312" w:hAnsi="仿宋_GB2312" w:eastAsia="仿宋_GB2312" w:cs="仿宋_GB2312"/>
          <w:bCs/>
          <w:sz w:val="30"/>
          <w:szCs w:val="30"/>
        </w:rPr>
        <w:t>316.67万元</w:t>
      </w:r>
      <w:r>
        <w:rPr>
          <w:rFonts w:ascii="仿宋_GB2312" w:hAnsi="仿宋_GB2312" w:eastAsia="仿宋_GB2312" w:cs="仿宋_GB2312"/>
          <w:bCs/>
          <w:sz w:val="30"/>
          <w:szCs w:val="30"/>
        </w:rPr>
        <w:t>，占总支出</w:t>
      </w:r>
      <w:r>
        <w:rPr>
          <w:rFonts w:hint="eastAsia" w:ascii="仿宋_GB2312" w:hAnsi="仿宋_GB2312" w:eastAsia="仿宋_GB2312" w:cs="仿宋_GB2312"/>
          <w:bCs/>
          <w:sz w:val="30"/>
          <w:szCs w:val="30"/>
        </w:rPr>
        <w:t>24.78</w:t>
      </w:r>
      <w:r>
        <w:rPr>
          <w:rFonts w:ascii="仿宋_GB2312" w:hAnsi="仿宋_GB2312" w:eastAsia="仿宋_GB2312" w:cs="仿宋_GB2312"/>
          <w:bCs/>
          <w:sz w:val="30"/>
          <w:szCs w:val="30"/>
        </w:rPr>
        <w:t>%，明细情况如下：</w:t>
      </w:r>
    </w:p>
    <w:p w14:paraId="15A9AB11">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（一）基本支出。</w:t>
      </w:r>
    </w:p>
    <w:p w14:paraId="18C0A2A4">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基本支出用于保障单位各科室、二级机构正常运转、完成日常工作任务而发生的支出，包括人员经费和日常公用经费。</w:t>
      </w:r>
    </w:p>
    <w:p w14:paraId="2EBE6360">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2023年决算基本支出961.41万元，其中工资福利性支出722.29万元、商品和服务支出98.23万元、对个人和家庭的补助140.89万元。</w:t>
      </w:r>
    </w:p>
    <w:p w14:paraId="0EE4B937">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（二）项目支出</w:t>
      </w:r>
    </w:p>
    <w:p w14:paraId="33321D0B">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项目支出是在基本支出之外为完成各项统计业务工作任务而发生的支出，主要用于常规统计业务、</w:t>
      </w:r>
      <w:r>
        <w:rPr>
          <w:rFonts w:ascii="仿宋_GB2312" w:hAnsi="仿宋_GB2312" w:eastAsia="仿宋_GB2312" w:cs="仿宋_GB2312"/>
          <w:bCs/>
          <w:sz w:val="30"/>
          <w:szCs w:val="30"/>
        </w:rPr>
        <w:t>专项统计</w:t>
      </w:r>
      <w:r>
        <w:rPr>
          <w:rFonts w:hint="eastAsia" w:ascii="仿宋_GB2312" w:hAnsi="仿宋_GB2312" w:eastAsia="仿宋_GB2312" w:cs="仿宋_GB2312"/>
          <w:bCs/>
          <w:sz w:val="30"/>
          <w:szCs w:val="30"/>
        </w:rPr>
        <w:t>调查、大型普查等，均属于业务工作经费。</w:t>
      </w:r>
    </w:p>
    <w:p w14:paraId="0D60835D">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1.专项资金安排落实、总投入等情况分析。</w:t>
      </w:r>
    </w:p>
    <w:p w14:paraId="214A945F">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2023年全年预算数项目支出为316.73万元，实际决算支出316.67万元，年终结余0.06万元。</w:t>
      </w:r>
    </w:p>
    <w:p w14:paraId="632AD6E8">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2.专项资金实际使用情况分析</w:t>
      </w:r>
    </w:p>
    <w:p w14:paraId="301F0BBD">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2023年决算的项目支出为316.67万元，其中：一般行政管理</w:t>
      </w:r>
      <w:r>
        <w:rPr>
          <w:rFonts w:ascii="仿宋_GB2312" w:hAnsi="仿宋_GB2312" w:eastAsia="仿宋_GB2312" w:cs="仿宋_GB2312"/>
          <w:bCs/>
          <w:sz w:val="30"/>
          <w:szCs w:val="30"/>
        </w:rPr>
        <w:t>事务</w:t>
      </w:r>
      <w:r>
        <w:rPr>
          <w:rFonts w:hint="eastAsia" w:ascii="仿宋_GB2312" w:hAnsi="仿宋_GB2312" w:eastAsia="仿宋_GB2312" w:cs="仿宋_GB2312"/>
          <w:bCs/>
          <w:sz w:val="30"/>
          <w:szCs w:val="30"/>
        </w:rPr>
        <w:t>30.02万元，主要用于统计资料印刷、统计业务培训等工作。专项统计</w:t>
      </w:r>
      <w:r>
        <w:rPr>
          <w:rFonts w:ascii="仿宋_GB2312" w:hAnsi="仿宋_GB2312" w:eastAsia="仿宋_GB2312" w:cs="仿宋_GB2312"/>
          <w:bCs/>
          <w:sz w:val="30"/>
          <w:szCs w:val="30"/>
        </w:rPr>
        <w:t>业务</w:t>
      </w:r>
      <w:r>
        <w:rPr>
          <w:rFonts w:hint="eastAsia" w:ascii="仿宋_GB2312" w:hAnsi="仿宋_GB2312" w:eastAsia="仿宋_GB2312" w:cs="仿宋_GB2312"/>
          <w:bCs/>
          <w:sz w:val="30"/>
          <w:szCs w:val="30"/>
        </w:rPr>
        <w:t>107.06万元，主要用于民意调查、常规统计调查等工作。专项普查活动141.8万元，主要用于第五次全国经济普查。其他公安支出6.26万元，主要用于对市禁毒工作开展满意度调查等</w:t>
      </w:r>
      <w:r>
        <w:rPr>
          <w:rFonts w:ascii="仿宋_GB2312" w:hAnsi="仿宋_GB2312" w:eastAsia="仿宋_GB2312" w:cs="仿宋_GB2312"/>
          <w:bCs/>
          <w:sz w:val="30"/>
          <w:szCs w:val="30"/>
        </w:rPr>
        <w:t>相关支出</w:t>
      </w:r>
      <w:r>
        <w:rPr>
          <w:rFonts w:hint="eastAsia" w:ascii="仿宋_GB2312" w:hAnsi="仿宋_GB2312" w:eastAsia="仿宋_GB2312" w:cs="仿宋_GB2312"/>
          <w:bCs/>
          <w:sz w:val="30"/>
          <w:szCs w:val="30"/>
        </w:rPr>
        <w:t>。其他商业服务业等支出30万元，主要用于物流统计购买服务</w:t>
      </w:r>
      <w:r>
        <w:rPr>
          <w:rFonts w:ascii="仿宋_GB2312" w:hAnsi="仿宋_GB2312" w:eastAsia="仿宋_GB2312" w:cs="仿宋_GB2312"/>
          <w:bCs/>
          <w:sz w:val="30"/>
          <w:szCs w:val="30"/>
        </w:rPr>
        <w:t>。</w:t>
      </w:r>
      <w:r>
        <w:rPr>
          <w:rFonts w:hint="eastAsia" w:ascii="仿宋_GB2312" w:hAnsi="仿宋_GB2312" w:eastAsia="仿宋_GB2312" w:cs="仿宋_GB2312"/>
          <w:bCs/>
          <w:sz w:val="30"/>
          <w:szCs w:val="30"/>
        </w:rPr>
        <w:t>殡葬1.54万元，主要用于对市殡仪馆服务开展满意度调查。</w:t>
      </w:r>
    </w:p>
    <w:p w14:paraId="2ED710FF">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3.专项资金管理情况分析</w:t>
      </w:r>
    </w:p>
    <w:p w14:paraId="05E390B6">
      <w:pPr>
        <w:spacing w:line="560" w:lineRule="exact"/>
        <w:ind w:firstLine="6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严格执行资金使用管理的相关规定，对资金实行“专款专用”，严控风险防范，保障资金安全和高效运行。</w:t>
      </w:r>
    </w:p>
    <w:p w14:paraId="2D75F552">
      <w:pPr>
        <w:spacing w:line="600" w:lineRule="exact"/>
        <w:ind w:firstLine="640" w:firstLineChars="200"/>
        <w:rPr>
          <w:rFonts w:eastAsia="黑体"/>
          <w:sz w:val="32"/>
          <w:szCs w:val="32"/>
        </w:rPr>
      </w:pPr>
      <w:r>
        <w:rPr>
          <w:rFonts w:eastAsia="黑体"/>
          <w:sz w:val="32"/>
          <w:szCs w:val="32"/>
        </w:rPr>
        <w:t>三、政府性基金预算支出情况</w:t>
      </w:r>
    </w:p>
    <w:p w14:paraId="7CED7756">
      <w:pPr>
        <w:spacing w:line="6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无</w:t>
      </w:r>
    </w:p>
    <w:p w14:paraId="0FD7D4C9">
      <w:pPr>
        <w:spacing w:line="600" w:lineRule="exact"/>
        <w:ind w:firstLine="640" w:firstLineChars="200"/>
        <w:rPr>
          <w:rFonts w:eastAsia="黑体"/>
          <w:sz w:val="32"/>
          <w:szCs w:val="32"/>
        </w:rPr>
      </w:pPr>
      <w:r>
        <w:rPr>
          <w:rFonts w:eastAsia="黑体"/>
          <w:sz w:val="32"/>
          <w:szCs w:val="32"/>
        </w:rPr>
        <w:t>四、国有资本经营预算支出情况</w:t>
      </w:r>
    </w:p>
    <w:p w14:paraId="11BD8AAF">
      <w:pPr>
        <w:spacing w:line="6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无</w:t>
      </w:r>
    </w:p>
    <w:p w14:paraId="5C169FB3">
      <w:pPr>
        <w:spacing w:line="600" w:lineRule="exact"/>
        <w:ind w:firstLine="640" w:firstLineChars="200"/>
        <w:rPr>
          <w:rFonts w:eastAsia="黑体"/>
          <w:sz w:val="32"/>
          <w:szCs w:val="32"/>
        </w:rPr>
      </w:pPr>
      <w:r>
        <w:rPr>
          <w:rFonts w:eastAsia="黑体"/>
          <w:sz w:val="32"/>
          <w:szCs w:val="32"/>
        </w:rPr>
        <w:t>五、社会保险基金预算支出情况</w:t>
      </w:r>
    </w:p>
    <w:p w14:paraId="1F54529A">
      <w:pPr>
        <w:spacing w:line="6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无</w:t>
      </w:r>
    </w:p>
    <w:p w14:paraId="1231F419">
      <w:pPr>
        <w:spacing w:line="600" w:lineRule="exact"/>
        <w:ind w:firstLine="640" w:firstLineChars="200"/>
        <w:rPr>
          <w:rFonts w:eastAsia="黑体"/>
          <w:sz w:val="32"/>
          <w:szCs w:val="32"/>
        </w:rPr>
      </w:pPr>
      <w:r>
        <w:rPr>
          <w:rFonts w:eastAsia="黑体"/>
          <w:sz w:val="32"/>
          <w:szCs w:val="32"/>
        </w:rPr>
        <w:t>六、部门整体支出绩效情况</w:t>
      </w:r>
    </w:p>
    <w:p w14:paraId="674231D9">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2023年财政资金的投入，维持了统计局机关的正常运行，保障了各项统计项目的开展，同时密切关注经济发展的“形”与“势”，用统计数据反映经济运行轨迹；有效统筹统计事业的“稳”与“进”，用创新手段健全统计工作机制。</w:t>
      </w:r>
      <w:r>
        <w:rPr>
          <w:rFonts w:hint="eastAsia" w:ascii="仿宋_GB2312" w:hAnsi="仿宋_GB2312" w:eastAsia="仿宋_GB2312" w:cs="仿宋_GB2312"/>
          <w:sz w:val="32"/>
          <w:szCs w:val="32"/>
          <w:lang w:val="en-US" w:eastAsia="zh-CN"/>
        </w:rPr>
        <w:t>一年来，统计队伍服务保障全市经济高质量发展的能力水平全面提升。</w:t>
      </w:r>
    </w:p>
    <w:p w14:paraId="19D25106">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一）控制在预算内开支。为更好地贯彻落实中央厉行节约的有关规定，创建节约型机关，成本管理不断加强，超预算、无预算不开支，严控预算调整。2023年全年预算数1278.14万元，决算数1278.08万元，预算执行率99.99%。同时，严控“三公经费”开支，2023年统计局“三公经费”预算支出15万元，实际开支4.22万元，在预算内开支。其中：公务接待费2.44万元，较去年降低了51.97%，公务用车运行维护费1.78万元，较去年降低47.95%。</w:t>
      </w:r>
    </w:p>
    <w:p w14:paraId="077A4168">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二）最大效益使用固定资产。截止2023年12月31日固定资产净值670.96万元，按照厉行节约，物尽其用的原则，资产管理采取统一建账，统一核算管理，对每一件固定资产使用明确保管职责，闲置的资产，由办公室统一调整，合理流动，发挥最大的效益。资产的购置按照规定的程序报机关事务管理局批准购置，达到政府采购标准的报政府采购管理办公室进行政府采购，资产的处置报废，按照财政规定的审批程序报机关事务管理局审批后再处置，保证资产的安全高效，防止资产流失。</w:t>
      </w:r>
    </w:p>
    <w:p w14:paraId="0F975DEF">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三）用好统计信息资源，统计公共产品稳步提高。全年编辑了《岳阳经济动态》《2018-2022数据岳阳》《2023岳阳统计数据集》等资料，在《岳阳日报》上公开发布了《2022年岳阳市国民经济与经济发展统计公报》，打造具有岳阳统计辨识度的产品，广受各级党政领导、有关单位的欢迎和好评。</w:t>
      </w:r>
    </w:p>
    <w:p w14:paraId="3AB7196B">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四）充分发挥统计监测职能。紧紧围绕高质量发展和建设名副其实的省域副中心城市两条主线，全力做好统计监测、分析解读工作。按月开展全市经济运行形势分析，多次召开县级统计部门主要负责人、专业科室负责人参加的经济形势分析会，形成月度经济运行综合分析报告，向市委、市政府汇报经济运行情况，全年共3篇分析被市主要领导批示。</w:t>
      </w:r>
    </w:p>
    <w:p w14:paraId="49A50CFC">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（五）</w:t>
      </w:r>
      <w:r>
        <w:rPr>
          <w:rFonts w:hint="eastAsia" w:ascii="仿宋_GB2312" w:hAnsi="仿宋_GB2312" w:eastAsia="仿宋_GB2312" w:cs="仿宋_GB2312"/>
          <w:sz w:val="32"/>
          <w:szCs w:val="32"/>
        </w:rPr>
        <w:t>加强统计监督，深入开展专项治理工作。迅速传达学习，多次召开会议，传达学习习近平总书记近期关于统计工作重要批示精神和专项治理行动相关会议精神。成立了市统计局统计专项治理行动工作专班。制定了局党组和局机关工作实施方案及自查自纠方案。全面自查自纠，全市各级党委、政府、统计机构及相关部门开展了自查自纠和数据核查。</w:t>
      </w:r>
    </w:p>
    <w:p w14:paraId="74C77C21">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六）不断拓展民调项目和内容。进一步充实了电话样本库，完成了社会公众电话号码库和特定对象电话号码库的完善和更新。开展了“绩效考核群众评价民意调查”、“全市公众生态环境满意度调查”“全市食品安全公众满意度调查”等15项民意调查项目，为高质量发展综合绩效评价提供基础数据。</w:t>
      </w:r>
    </w:p>
    <w:p w14:paraId="4CD9D650">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七）筑牢经济基础，强力推进“四上”申报。4月下旬至5月上旬深入70家企业开展“四上”单位现场核查工作。紧紧围绕“先入库再出数”的工作重心，落实调查单位审核管理即湘统办33号文件要求，建立考核和定期通报机制，明确责任主体，充分调动各方面积极性。认真指导县市区做好四上单位申报工作，确保纳入一套表的单位“真、准、实”。</w:t>
      </w:r>
      <w:bookmarkStart w:id="1" w:name="_GoBack"/>
      <w:bookmarkEnd w:id="1"/>
    </w:p>
    <w:p w14:paraId="126318B4">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八）夯实基层基础，纵深推进统计规范化建设。对47个乡镇统计规范化建设单位开展了“回头看”工作，重点查看了各乡镇在工作任务、制度管理、业务流程、统计服务、人员配备、教育培训、办公场所、经费保障等八个方面规范化建设的达标和提升情况。完成了28个统计规范化建设示范站验收工作，且全部达到优秀等次。</w:t>
      </w:r>
    </w:p>
    <w:p w14:paraId="234DA36D">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九）增强业务本领，积极开展统计业务培训。通过现场培训和在线学习等方式，抓好县市区统计人员和企事业单位统计员的培训工作，重点开展五经普单位清查布置暨业务和软件培训，以学促考形式确保各级经普办、“两员”熟练掌握清查业务流程和软件操作。切实提高统计干部队伍的综合素质和业务水平，提高了统计工作效能。 </w:t>
      </w:r>
    </w:p>
    <w:p w14:paraId="682F8146">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（十）高质高效推进五经普工作。按照省经普办的统一部署，在市委、市政府的坚强领导下，</w:t>
      </w:r>
      <w:r>
        <w:rPr>
          <w:rFonts w:hint="eastAsia" w:ascii="仿宋_GB2312" w:hAnsi="仿宋_GB2312" w:eastAsia="仿宋_GB2312" w:cs="仿宋_GB2312"/>
          <w:sz w:val="32"/>
          <w:szCs w:val="32"/>
        </w:rPr>
        <w:t>成立了岳阳市第五次全国经济普查工作领导小组。各县市区均成立了普查工作领导小组和办公室，选聘</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村（社区）工作人员作为普查“两员”，构建了市、县、乡、村四级全覆盖的普查工作体系。全市共落实普查机构人员577人，选聘普查“两员”6329人，其中普查指导员1845人、普查员4484人。多种方式大力宣传五经普，在市政府门户网开设“五经普”专栏，撰写各类普查信息40余条,普查简报8期。在平江县开展市级综合试点工作，并组织各县市区普查业务骨干进行现场观摩，组织开展全市普查人员管理系统、普查区划分及绘图培训。全年</w:t>
      </w:r>
      <w:r>
        <w:rPr>
          <w:rFonts w:hint="eastAsia" w:ascii="仿宋_GB2312" w:hAnsi="仿宋_GB2312" w:eastAsia="仿宋_GB2312" w:cs="仿宋_GB2312"/>
          <w:bCs/>
          <w:sz w:val="30"/>
          <w:szCs w:val="30"/>
        </w:rPr>
        <w:t>顺利完成了机构组建、“两员”选聘及培训、普查试点、普查区划分与绘图、编制清查底册等各项工作，特别是“小升规”工作超预期完成目标任务。</w:t>
      </w:r>
    </w:p>
    <w:p w14:paraId="7DA82463">
      <w:pPr>
        <w:spacing w:line="500" w:lineRule="exact"/>
        <w:ind w:firstLine="600" w:firstLineChars="200"/>
        <w:rPr>
          <w:rFonts w:ascii="黑体" w:hAnsi="黑体" w:eastAsia="黑体" w:cs="黑体"/>
          <w:bCs/>
          <w:sz w:val="30"/>
          <w:szCs w:val="30"/>
        </w:rPr>
      </w:pPr>
      <w:r>
        <w:rPr>
          <w:rFonts w:hint="eastAsia" w:ascii="黑体" w:hAnsi="黑体" w:eastAsia="黑体" w:cs="黑体"/>
          <w:bCs/>
          <w:sz w:val="30"/>
          <w:szCs w:val="30"/>
        </w:rPr>
        <w:t>七、存在的问题及原因分析</w:t>
      </w:r>
    </w:p>
    <w:p w14:paraId="0E5CBEA3">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（一）预算支出绩效指标不够细化、不够全面</w:t>
      </w:r>
    </w:p>
    <w:p w14:paraId="193E2ED6">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预算支出绩效指标跟预算编制同步申报，根据工作计划和重点工作设置，因当年工作任务的变动无法准确预计，绩效目标的设置与实际情况有细微偏差。</w:t>
      </w:r>
    </w:p>
    <w:p w14:paraId="4008E92C">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（二）预算执行率不够</w:t>
      </w:r>
    </w:p>
    <w:p w14:paraId="0437BDBC">
      <w:pPr>
        <w:rPr>
          <w:rFonts w:ascii="仿宋" w:hAnsi="仿宋" w:eastAsia="仿宋" w:cs="宋体"/>
          <w:kern w:val="0"/>
          <w:sz w:val="24"/>
        </w:rPr>
      </w:pPr>
      <w:r>
        <w:rPr>
          <w:rFonts w:hint="eastAsia" w:ascii="仿宋_GB2312" w:hAnsi="仿宋_GB2312" w:eastAsia="仿宋_GB2312" w:cs="仿宋_GB2312"/>
          <w:bCs/>
          <w:sz w:val="30"/>
          <w:szCs w:val="30"/>
        </w:rPr>
        <w:t xml:space="preserve">    年底因预算一体化系统升级,</w:t>
      </w:r>
      <w:r>
        <w:rPr>
          <w:rFonts w:hint="eastAsia" w:ascii="仿宋_GB2312" w:hAnsi="仿宋_GB2312" w:eastAsia="仿宋_GB2312" w:cs="仿宋_GB2312"/>
          <w:bCs/>
          <w:sz w:val="30"/>
          <w:szCs w:val="30"/>
          <w:lang w:eastAsia="zh-CN"/>
        </w:rPr>
        <w:t>资金无法支付，导致</w:t>
      </w:r>
      <w:r>
        <w:rPr>
          <w:rFonts w:hint="eastAsia" w:ascii="仿宋_GB2312" w:hAnsi="仿宋_GB2312" w:eastAsia="仿宋_GB2312" w:cs="仿宋_GB2312"/>
          <w:bCs/>
          <w:sz w:val="30"/>
          <w:szCs w:val="30"/>
        </w:rPr>
        <w:t>资金支付不及时</w:t>
      </w:r>
      <w:r>
        <w:rPr>
          <w:rFonts w:hint="eastAsia" w:ascii="仿宋" w:hAnsi="仿宋" w:eastAsia="仿宋" w:cs="宋体"/>
          <w:kern w:val="0"/>
          <w:sz w:val="24"/>
        </w:rPr>
        <w:t>。</w:t>
      </w:r>
    </w:p>
    <w:p w14:paraId="7CB5508D">
      <w:pPr>
        <w:spacing w:line="500" w:lineRule="exact"/>
        <w:ind w:firstLine="600" w:firstLineChars="200"/>
        <w:rPr>
          <w:rFonts w:ascii="黑体" w:hAnsi="黑体" w:eastAsia="黑体" w:cs="黑体"/>
          <w:bCs/>
          <w:sz w:val="30"/>
          <w:szCs w:val="30"/>
        </w:rPr>
      </w:pPr>
      <w:r>
        <w:rPr>
          <w:rFonts w:hint="eastAsia" w:ascii="黑体" w:hAnsi="黑体" w:eastAsia="黑体" w:cs="黑体"/>
          <w:bCs/>
          <w:sz w:val="30"/>
          <w:szCs w:val="30"/>
        </w:rPr>
        <w:t>八</w:t>
      </w:r>
      <w:r>
        <w:rPr>
          <w:rFonts w:ascii="黑体" w:hAnsi="黑体" w:eastAsia="黑体" w:cs="黑体"/>
          <w:bCs/>
          <w:sz w:val="30"/>
          <w:szCs w:val="30"/>
        </w:rPr>
        <w:t>、</w:t>
      </w:r>
      <w:r>
        <w:rPr>
          <w:rFonts w:hint="eastAsia" w:ascii="黑体" w:hAnsi="黑体" w:eastAsia="黑体" w:cs="黑体"/>
          <w:bCs/>
          <w:sz w:val="30"/>
          <w:szCs w:val="30"/>
        </w:rPr>
        <w:t>改进措施和有关建议</w:t>
      </w:r>
    </w:p>
    <w:p w14:paraId="4D73C3DC">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（一）进一步细化预算支出绩效指标设置</w:t>
      </w:r>
    </w:p>
    <w:p w14:paraId="31FDBE5E">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年初设置绩效指标时，尽量收集资料，进一步细化单位的工作计划与重点工作，年中可以根据工作任务变动调整绩效指标。</w:t>
      </w:r>
    </w:p>
    <w:p w14:paraId="3D62DECB">
      <w:pPr>
        <w:spacing w:line="5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（二）加快预算执行进度，及时支付费用。</w:t>
      </w:r>
    </w:p>
    <w:p w14:paraId="062272E8">
      <w:pPr>
        <w:spacing w:line="500" w:lineRule="exact"/>
        <w:ind w:firstLine="600"/>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制定支付计划，按进度支付资金，避免扎堆支付现象，因不可控因素导致预算执行进度不够。</w:t>
      </w:r>
    </w:p>
    <w:p w14:paraId="65856CA5">
      <w:pPr>
        <w:spacing w:line="600" w:lineRule="exact"/>
        <w:ind w:firstLine="640" w:firstLineChars="200"/>
        <w:rPr>
          <w:rFonts w:eastAsia="黑体"/>
          <w:sz w:val="32"/>
          <w:szCs w:val="32"/>
        </w:rPr>
      </w:pPr>
      <w:r>
        <w:rPr>
          <w:rFonts w:eastAsia="黑体"/>
          <w:sz w:val="32"/>
          <w:szCs w:val="32"/>
        </w:rPr>
        <w:t>九、绩效自评结果拟应用和公开情况</w:t>
      </w:r>
    </w:p>
    <w:p w14:paraId="174BD1E9">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（一）结果应用情况。</w:t>
      </w:r>
    </w:p>
    <w:p w14:paraId="6131F94A">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深化绩效评价工作，不断提高部门预算整体绩效目标管理水平。按照《预算法》按时完成预决算编制。在执行过程中有计划进行资金申报、使用，完善资金管理及内部控制制度，确保资金安全，做到账款、账账、账实相符。</w:t>
      </w:r>
    </w:p>
    <w:p w14:paraId="13F54E88">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通过绩效自评建立节约型机关。严格执行中央八项规定，严格管控三公经费支出，厉行节约，“三公经费”支出按时在“湖南互联网+”平台上公示。扎实抓好机关节能降耗，一是严控用电管理。倡导在自然光照较好的条件下不使用照明灯具，使用照明工具时保证人走灯灭，杜绝"长明灯"等能耗空放现象。二是严控用水管理。人走时及时关闭关紧水龙头，杜绝"长流水"和"跑、冒、滴、漏"现象。</w:t>
      </w:r>
    </w:p>
    <w:p w14:paraId="5DF7B25E">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3.强化单位财务管理工作，提高资金使用效率。在资金的管理和使用上，严格遵守财经纪律，严格执行机关财务管理制度，及时进行会计核算，对预决算情况进行公开公示，接受群众监督。</w:t>
      </w:r>
    </w:p>
    <w:p w14:paraId="4BCFBDC6">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（二）公开公示情况</w:t>
      </w:r>
    </w:p>
    <w:p w14:paraId="39110AE1">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为进一步深化事后绩效评价工作，不断提高部门预算整体绩效目标管理水平，每年按时在“岳阳市统计局信息网”公开公示板块下的资金信息专栏对绩效自评结果进行公开公示。</w:t>
      </w:r>
    </w:p>
    <w:p w14:paraId="15F611A9">
      <w:pPr>
        <w:spacing w:line="600" w:lineRule="exact"/>
        <w:ind w:firstLine="640" w:firstLineChars="200"/>
        <w:rPr>
          <w:rFonts w:ascii="黑体" w:hAnsi="黑体" w:eastAsia="黑体"/>
          <w:sz w:val="32"/>
          <w:szCs w:val="32"/>
        </w:rPr>
      </w:pPr>
      <w:r>
        <w:rPr>
          <w:rFonts w:hint="eastAsia" w:ascii="黑体" w:hAnsi="黑体" w:eastAsia="黑体"/>
          <w:sz w:val="32"/>
          <w:szCs w:val="32"/>
        </w:rPr>
        <w:t>十、其他需要说明的情况</w:t>
      </w:r>
    </w:p>
    <w:p w14:paraId="22314204">
      <w:pPr>
        <w:spacing w:line="5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无</w:t>
      </w:r>
    </w:p>
    <w:p w14:paraId="50FBD24E">
      <w:pPr>
        <w:spacing w:line="600" w:lineRule="exact"/>
        <w:ind w:firstLine="640" w:firstLineChars="200"/>
        <w:rPr>
          <w:rFonts w:eastAsia="仿宋_GB2312"/>
          <w:sz w:val="32"/>
          <w:szCs w:val="32"/>
        </w:rPr>
      </w:pPr>
    </w:p>
    <w:p w14:paraId="2183F8CF">
      <w:pPr>
        <w:spacing w:line="500" w:lineRule="exact"/>
        <w:ind w:firstLine="560" w:firstLineChars="200"/>
        <w:rPr>
          <w:rFonts w:ascii="仿宋_GB2312" w:hAnsi="仿宋_GB2312" w:eastAsia="仿宋_GB2312" w:cs="仿宋_GB2312"/>
          <w:bCs/>
          <w:sz w:val="28"/>
          <w:szCs w:val="28"/>
        </w:rPr>
      </w:pPr>
    </w:p>
    <w:p w14:paraId="21CA7C34">
      <w:pPr>
        <w:spacing w:line="348" w:lineRule="auto"/>
        <w:rPr>
          <w:rFonts w:ascii="仿宋_GB2312" w:hAnsi="宋体" w:eastAsia="仿宋_GB2312" w:cs="宋体"/>
          <w:kern w:val="0"/>
          <w:szCs w:val="21"/>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940D0">
    <w:pPr>
      <w:ind w:right="360" w:firstLine="360"/>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path/>
          <v:fill on="f" focussize="0,0"/>
          <v:stroke on="f" weight="1.25pt" joinstyle="miter"/>
          <v:imagedata o:title=""/>
          <o:lock v:ext="edit"/>
          <v:textbox inset="0mm,0mm,0mm,0mm" style="mso-fit-shape-to-text:t;">
            <w:txbxContent>
              <w:p w14:paraId="5F2717B4">
                <w:pPr>
                  <w:pStyle w:val="2"/>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- 2 -</w:t>
                </w:r>
                <w:r>
                  <w:rPr>
                    <w:rFonts w:hint="eastAsia" w:ascii="宋体" w:hAnsi="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U0NzU0ODI0OTZiMDZhOTkxODNmMmMzZWJlNjUyZTYifQ=="/>
  </w:docVars>
  <w:rsids>
    <w:rsidRoot w:val="00596A89"/>
    <w:rsid w:val="00010361"/>
    <w:rsid w:val="00012434"/>
    <w:rsid w:val="00014B59"/>
    <w:rsid w:val="00043567"/>
    <w:rsid w:val="00055289"/>
    <w:rsid w:val="00060C15"/>
    <w:rsid w:val="000657D3"/>
    <w:rsid w:val="0008054E"/>
    <w:rsid w:val="00142BC8"/>
    <w:rsid w:val="00146D29"/>
    <w:rsid w:val="0016776E"/>
    <w:rsid w:val="001D3171"/>
    <w:rsid w:val="002430FC"/>
    <w:rsid w:val="002B64DF"/>
    <w:rsid w:val="002D538B"/>
    <w:rsid w:val="002F3D33"/>
    <w:rsid w:val="002F7582"/>
    <w:rsid w:val="002F7D55"/>
    <w:rsid w:val="00335A8B"/>
    <w:rsid w:val="00372BCD"/>
    <w:rsid w:val="00391C0A"/>
    <w:rsid w:val="003E17CF"/>
    <w:rsid w:val="00423C09"/>
    <w:rsid w:val="004A0358"/>
    <w:rsid w:val="004A0E5C"/>
    <w:rsid w:val="004D311D"/>
    <w:rsid w:val="004D5121"/>
    <w:rsid w:val="004E24F0"/>
    <w:rsid w:val="005223FB"/>
    <w:rsid w:val="00555A8C"/>
    <w:rsid w:val="00591063"/>
    <w:rsid w:val="00596A89"/>
    <w:rsid w:val="005E3AB4"/>
    <w:rsid w:val="00632B05"/>
    <w:rsid w:val="006A2E7C"/>
    <w:rsid w:val="006C599F"/>
    <w:rsid w:val="006D2673"/>
    <w:rsid w:val="006E49C4"/>
    <w:rsid w:val="006E5814"/>
    <w:rsid w:val="00742C31"/>
    <w:rsid w:val="007442A5"/>
    <w:rsid w:val="00755D51"/>
    <w:rsid w:val="007D2A33"/>
    <w:rsid w:val="00824F06"/>
    <w:rsid w:val="00862243"/>
    <w:rsid w:val="008642FE"/>
    <w:rsid w:val="0088385C"/>
    <w:rsid w:val="008C22CE"/>
    <w:rsid w:val="008E7E32"/>
    <w:rsid w:val="00915384"/>
    <w:rsid w:val="00941A7A"/>
    <w:rsid w:val="0096118B"/>
    <w:rsid w:val="009953B6"/>
    <w:rsid w:val="009B3DBE"/>
    <w:rsid w:val="009E65E3"/>
    <w:rsid w:val="00A20A29"/>
    <w:rsid w:val="00A51924"/>
    <w:rsid w:val="00A66635"/>
    <w:rsid w:val="00A76F5B"/>
    <w:rsid w:val="00AC1617"/>
    <w:rsid w:val="00AF2B42"/>
    <w:rsid w:val="00B56066"/>
    <w:rsid w:val="00B849BD"/>
    <w:rsid w:val="00BB7400"/>
    <w:rsid w:val="00BF6B92"/>
    <w:rsid w:val="00C01F34"/>
    <w:rsid w:val="00C37967"/>
    <w:rsid w:val="00C503D6"/>
    <w:rsid w:val="00C573EB"/>
    <w:rsid w:val="00C73993"/>
    <w:rsid w:val="00CA0185"/>
    <w:rsid w:val="00CC4A45"/>
    <w:rsid w:val="00CF77D1"/>
    <w:rsid w:val="00D05578"/>
    <w:rsid w:val="00D07CA6"/>
    <w:rsid w:val="00D23959"/>
    <w:rsid w:val="00D47412"/>
    <w:rsid w:val="00D74E34"/>
    <w:rsid w:val="00D81C4B"/>
    <w:rsid w:val="00D85E2E"/>
    <w:rsid w:val="00D94913"/>
    <w:rsid w:val="00E12917"/>
    <w:rsid w:val="00E20075"/>
    <w:rsid w:val="00E43AE6"/>
    <w:rsid w:val="00E478F0"/>
    <w:rsid w:val="00E8481B"/>
    <w:rsid w:val="00EB45CD"/>
    <w:rsid w:val="00EB4B78"/>
    <w:rsid w:val="00EF0C20"/>
    <w:rsid w:val="00F90353"/>
    <w:rsid w:val="00F96484"/>
    <w:rsid w:val="00FE1CC6"/>
    <w:rsid w:val="023870D5"/>
    <w:rsid w:val="034C3635"/>
    <w:rsid w:val="037360B7"/>
    <w:rsid w:val="05712C7D"/>
    <w:rsid w:val="07606573"/>
    <w:rsid w:val="09C90E12"/>
    <w:rsid w:val="0A134AE4"/>
    <w:rsid w:val="0B461109"/>
    <w:rsid w:val="0BB70BA5"/>
    <w:rsid w:val="0F7E502D"/>
    <w:rsid w:val="1008074D"/>
    <w:rsid w:val="104248EA"/>
    <w:rsid w:val="10BA19E9"/>
    <w:rsid w:val="10DC5195"/>
    <w:rsid w:val="112C220D"/>
    <w:rsid w:val="116F6FCA"/>
    <w:rsid w:val="12121F00"/>
    <w:rsid w:val="12D07E4D"/>
    <w:rsid w:val="12D44661"/>
    <w:rsid w:val="12F9372E"/>
    <w:rsid w:val="151F5435"/>
    <w:rsid w:val="156670F6"/>
    <w:rsid w:val="19F11012"/>
    <w:rsid w:val="1A2E30C1"/>
    <w:rsid w:val="1A7859B4"/>
    <w:rsid w:val="1AB44F4D"/>
    <w:rsid w:val="1BB5545C"/>
    <w:rsid w:val="1C207203"/>
    <w:rsid w:val="1D1F5644"/>
    <w:rsid w:val="1E017D0B"/>
    <w:rsid w:val="202645B9"/>
    <w:rsid w:val="240A0CA2"/>
    <w:rsid w:val="25D362A1"/>
    <w:rsid w:val="269158E4"/>
    <w:rsid w:val="2811125F"/>
    <w:rsid w:val="2BC34890"/>
    <w:rsid w:val="2E927E8C"/>
    <w:rsid w:val="2F346268"/>
    <w:rsid w:val="328F10F7"/>
    <w:rsid w:val="337B7E77"/>
    <w:rsid w:val="344E0784"/>
    <w:rsid w:val="34B20DD1"/>
    <w:rsid w:val="362E5BE4"/>
    <w:rsid w:val="386830FF"/>
    <w:rsid w:val="3A683A03"/>
    <w:rsid w:val="3B9400E3"/>
    <w:rsid w:val="3C343702"/>
    <w:rsid w:val="3EAB0654"/>
    <w:rsid w:val="3EDD3CDC"/>
    <w:rsid w:val="40654E78"/>
    <w:rsid w:val="413B159F"/>
    <w:rsid w:val="42ED71C7"/>
    <w:rsid w:val="452E0263"/>
    <w:rsid w:val="459A76C0"/>
    <w:rsid w:val="45A4556F"/>
    <w:rsid w:val="4763084E"/>
    <w:rsid w:val="48C939C1"/>
    <w:rsid w:val="4D6E5B3D"/>
    <w:rsid w:val="4D993A38"/>
    <w:rsid w:val="4E4017AA"/>
    <w:rsid w:val="4EEE00A1"/>
    <w:rsid w:val="4F036237"/>
    <w:rsid w:val="4F831D90"/>
    <w:rsid w:val="504A6BCE"/>
    <w:rsid w:val="53043976"/>
    <w:rsid w:val="53AA6201"/>
    <w:rsid w:val="56881D80"/>
    <w:rsid w:val="56B557F8"/>
    <w:rsid w:val="583604C1"/>
    <w:rsid w:val="58401A2D"/>
    <w:rsid w:val="587B7BB4"/>
    <w:rsid w:val="5C5605D8"/>
    <w:rsid w:val="5C58107F"/>
    <w:rsid w:val="5D916AA1"/>
    <w:rsid w:val="5EEB25CD"/>
    <w:rsid w:val="616C11E5"/>
    <w:rsid w:val="63635C9F"/>
    <w:rsid w:val="645B3D95"/>
    <w:rsid w:val="65D23027"/>
    <w:rsid w:val="66DA78D9"/>
    <w:rsid w:val="66E379EC"/>
    <w:rsid w:val="67E73C6A"/>
    <w:rsid w:val="68E90790"/>
    <w:rsid w:val="6ABA73A5"/>
    <w:rsid w:val="6B401EA1"/>
    <w:rsid w:val="6D555B99"/>
    <w:rsid w:val="6E0105CB"/>
    <w:rsid w:val="6F2A26B1"/>
    <w:rsid w:val="71EE36FA"/>
    <w:rsid w:val="73D205AC"/>
    <w:rsid w:val="76147189"/>
    <w:rsid w:val="790E2D96"/>
    <w:rsid w:val="7921749D"/>
    <w:rsid w:val="797C5F9E"/>
    <w:rsid w:val="7ACA4F76"/>
    <w:rsid w:val="7AF56018"/>
    <w:rsid w:val="7B2322C4"/>
    <w:rsid w:val="7C226C33"/>
    <w:rsid w:val="7F4960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11"/>
    <w:qFormat/>
    <w:uiPriority w:val="0"/>
    <w:pPr>
      <w:keepNext/>
      <w:keepLines/>
      <w:spacing w:line="360" w:lineRule="auto"/>
      <w:outlineLvl w:val="2"/>
    </w:pPr>
    <w:rPr>
      <w:rFonts w:eastAsia="楷体_GB2312"/>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0"/>
    <w:unhideWhenUsed/>
    <w:qFormat/>
    <w:uiPriority w:val="0"/>
    <w:pPr>
      <w:tabs>
        <w:tab w:val="center" w:pos="4153"/>
        <w:tab w:val="right" w:pos="8306"/>
      </w:tabs>
      <w:snapToGrid w:val="0"/>
      <w:jc w:val="left"/>
    </w:pPr>
    <w:rPr>
      <w:rFonts w:ascii="Calibri" w:hAnsi="Calibri" w:cs="黑体"/>
      <w:sz w:val="18"/>
      <w:szCs w:val="18"/>
    </w:rPr>
  </w:style>
  <w:style w:type="paragraph" w:styleId="3">
    <w:name w:val="index 5"/>
    <w:basedOn w:val="1"/>
    <w:next w:val="1"/>
    <w:qFormat/>
    <w:uiPriority w:val="0"/>
    <w:pPr>
      <w:ind w:left="1680"/>
    </w:pPr>
  </w:style>
  <w:style w:type="paragraph" w:styleId="5">
    <w:name w:val="Balloon Text"/>
    <w:basedOn w:val="1"/>
    <w:link w:val="12"/>
    <w:semiHidden/>
    <w:unhideWhenUsed/>
    <w:qFormat/>
    <w:uiPriority w:val="0"/>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character" w:customStyle="1" w:styleId="9">
    <w:name w:val="页眉 Char"/>
    <w:link w:val="6"/>
    <w:qFormat/>
    <w:uiPriority w:val="99"/>
    <w:rPr>
      <w:sz w:val="18"/>
      <w:szCs w:val="18"/>
    </w:rPr>
  </w:style>
  <w:style w:type="character" w:customStyle="1" w:styleId="10">
    <w:name w:val="页脚 Char"/>
    <w:link w:val="2"/>
    <w:qFormat/>
    <w:uiPriority w:val="0"/>
    <w:rPr>
      <w:sz w:val="18"/>
      <w:szCs w:val="18"/>
    </w:rPr>
  </w:style>
  <w:style w:type="character" w:customStyle="1" w:styleId="11">
    <w:name w:val="标题 3 Char"/>
    <w:link w:val="4"/>
    <w:qFormat/>
    <w:uiPriority w:val="0"/>
    <w:rPr>
      <w:rFonts w:ascii="Times New Roman" w:hAnsi="Times New Roman" w:eastAsia="楷体_GB2312" w:cs="Times New Roman"/>
      <w:b/>
      <w:sz w:val="32"/>
      <w:szCs w:val="24"/>
    </w:rPr>
  </w:style>
  <w:style w:type="character" w:customStyle="1" w:styleId="12">
    <w:name w:val="批注框文本 Char"/>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9</Pages>
  <Words>4648</Words>
  <Characters>4889</Characters>
  <Lines>3</Lines>
  <Paragraphs>10</Paragraphs>
  <TotalTime>21</TotalTime>
  <ScaleCrop>false</ScaleCrop>
  <LinksUpToDate>false</LinksUpToDate>
  <CharactersWithSpaces>4895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2018-04-27T08:42:00Z</dcterms:created>
  <dc:creator>wangxy</dc:creator>
  <cp:lastModifiedBy>Administrator</cp:lastModifiedBy>
  <cp:lastPrinted>2024-07-26T01:58:41Z</cp:lastPrinted>
  <dcterms:modified xsi:type="dcterms:W3CDTF">2024-07-26T02:06:26Z</dcterms:modified>
  <dc:title>岳阳市2017年度部门（单位）整体支出</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4B714E5B15F24A9BAD7D949BE5785828_12</vt:lpwstr>
  </property>
</Properties>
</file>